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tblCellSpacing w:w="0" w:type="dxa"/>
        <w:tblInd w:w="60" w:type="dxa"/>
        <w:tblBorders>
          <w:bottom w:val="single" w:sz="6" w:space="0" w:color="EDEDED"/>
        </w:tblBorders>
        <w:tblCellMar>
          <w:left w:w="0" w:type="dxa"/>
          <w:right w:w="0" w:type="dxa"/>
        </w:tblCellMar>
        <w:tblLook w:val="04A0" w:firstRow="1" w:lastRow="0" w:firstColumn="1" w:lastColumn="0" w:noHBand="0" w:noVBand="1"/>
      </w:tblPr>
      <w:tblGrid>
        <w:gridCol w:w="6660"/>
        <w:gridCol w:w="2880"/>
      </w:tblGrid>
      <w:tr w:rsidR="007D2C35" w:rsidRPr="007D2C35" w14:paraId="298E5EAF" w14:textId="77777777" w:rsidTr="007D2C35">
        <w:trPr>
          <w:tblCellSpacing w:w="0" w:type="dxa"/>
        </w:trPr>
        <w:tc>
          <w:tcPr>
            <w:tcW w:w="0" w:type="auto"/>
            <w:vAlign w:val="center"/>
            <w:hideMark/>
          </w:tcPr>
          <w:p w14:paraId="5C0BD554" w14:textId="77777777" w:rsidR="007D2C35" w:rsidRPr="007D2C35" w:rsidRDefault="007D2C35" w:rsidP="007D2C35">
            <w:pPr>
              <w:spacing w:after="0" w:line="240" w:lineRule="auto"/>
              <w:rPr>
                <w:rFonts w:ascii="Times New Roman" w:eastAsia="Times New Roman" w:hAnsi="Times New Roman" w:cs="Times New Roman"/>
                <w:color w:val="666666"/>
                <w:sz w:val="20"/>
                <w:szCs w:val="20"/>
                <w:lang w:eastAsia="es-CL"/>
              </w:rPr>
            </w:pPr>
            <w:r w:rsidRPr="007D2C35">
              <w:rPr>
                <w:rFonts w:ascii="Times New Roman" w:eastAsia="Times New Roman" w:hAnsi="Times New Roman" w:cs="Times New Roman"/>
                <w:color w:val="666666"/>
                <w:sz w:val="20"/>
                <w:szCs w:val="20"/>
                <w:lang w:eastAsia="es-CL"/>
              </w:rPr>
              <w:t xml:space="preserve">Martes, 25 de marzo de 2014 </w:t>
            </w:r>
          </w:p>
        </w:tc>
        <w:tc>
          <w:tcPr>
            <w:tcW w:w="2880" w:type="dxa"/>
            <w:hideMark/>
          </w:tcPr>
          <w:p w14:paraId="4D03E5A9" w14:textId="77777777" w:rsidR="007D2C35" w:rsidRPr="007D2C35" w:rsidRDefault="007D2C35" w:rsidP="007D2C35">
            <w:pPr>
              <w:spacing w:after="150" w:line="240" w:lineRule="auto"/>
              <w:jc w:val="right"/>
              <w:rPr>
                <w:rFonts w:ascii="Times New Roman" w:eastAsia="Times New Roman" w:hAnsi="Times New Roman" w:cs="Times New Roman"/>
                <w:color w:val="666666"/>
                <w:sz w:val="20"/>
                <w:szCs w:val="20"/>
                <w:lang w:eastAsia="es-CL"/>
              </w:rPr>
            </w:pPr>
          </w:p>
        </w:tc>
      </w:tr>
    </w:tbl>
    <w:p w14:paraId="55D334B1" w14:textId="77777777" w:rsidR="007D2C35" w:rsidRPr="007D2C35" w:rsidRDefault="007D2C35" w:rsidP="007D2C35">
      <w:pPr>
        <w:shd w:val="clear" w:color="auto" w:fill="FFFFFF"/>
        <w:spacing w:after="0" w:line="240" w:lineRule="auto"/>
        <w:rPr>
          <w:rFonts w:ascii="Times New Roman" w:eastAsia="Times New Roman" w:hAnsi="Times New Roman" w:cs="Times New Roman"/>
          <w:color w:val="333333"/>
          <w:sz w:val="30"/>
          <w:szCs w:val="30"/>
          <w:lang w:val="es-ES" w:eastAsia="es-CL"/>
        </w:rPr>
      </w:pPr>
      <w:r w:rsidRPr="007D2C35">
        <w:rPr>
          <w:rFonts w:ascii="Times New Roman" w:eastAsia="Times New Roman" w:hAnsi="Times New Roman" w:cs="Times New Roman"/>
          <w:color w:val="333333"/>
          <w:sz w:val="30"/>
          <w:szCs w:val="30"/>
          <w:lang w:val="es-ES" w:eastAsia="es-CL"/>
        </w:rPr>
        <w:t>Perú y Chile suscriben acta de trabajos conjuntos para delimitación de frontera marítima</w:t>
      </w:r>
    </w:p>
    <w:p w14:paraId="22995154" w14:textId="77777777" w:rsidR="007D2C35" w:rsidRPr="007D2C35" w:rsidRDefault="007D2C35" w:rsidP="007D2C35">
      <w:pPr>
        <w:shd w:val="clear" w:color="auto" w:fill="FFFFFF"/>
        <w:spacing w:after="150" w:line="408" w:lineRule="auto"/>
        <w:jc w:val="both"/>
        <w:rPr>
          <w:rFonts w:ascii="Arial" w:eastAsia="Times New Roman" w:hAnsi="Arial" w:cs="Arial"/>
          <w:color w:val="333333"/>
          <w:sz w:val="21"/>
          <w:szCs w:val="21"/>
          <w:lang w:val="es-ES" w:eastAsia="es-CL"/>
        </w:rPr>
      </w:pPr>
      <w:r w:rsidRPr="007D2C35">
        <w:rPr>
          <w:rFonts w:ascii="Arial" w:eastAsia="Times New Roman" w:hAnsi="Arial" w:cs="Arial"/>
          <w:noProof/>
          <w:color w:val="333333"/>
          <w:sz w:val="21"/>
          <w:szCs w:val="21"/>
          <w:lang w:eastAsia="es-CL"/>
        </w:rPr>
        <w:drawing>
          <wp:inline distT="0" distB="0" distL="0" distR="0" wp14:anchorId="4FDED372" wp14:editId="326296A1">
            <wp:extent cx="5524500" cy="3714750"/>
            <wp:effectExtent l="0" t="0" r="0" b="0"/>
            <wp:docPr id="6" name="foto_00000008" descr="Imagen foto_000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_00000008" descr="Imagen foto_0000000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0" cy="3714750"/>
                    </a:xfrm>
                    <a:prstGeom prst="rect">
                      <a:avLst/>
                    </a:prstGeom>
                    <a:noFill/>
                    <a:ln>
                      <a:noFill/>
                    </a:ln>
                  </pic:spPr>
                </pic:pic>
              </a:graphicData>
            </a:graphic>
          </wp:inline>
        </w:drawing>
      </w:r>
    </w:p>
    <w:p w14:paraId="6ED1D3FC" w14:textId="77777777" w:rsidR="007D2C35" w:rsidRPr="007D2C35" w:rsidRDefault="007D2C35" w:rsidP="007D2C35">
      <w:pPr>
        <w:shd w:val="clear" w:color="auto" w:fill="FFFFFF"/>
        <w:spacing w:after="150" w:line="408" w:lineRule="auto"/>
        <w:jc w:val="both"/>
        <w:rPr>
          <w:rFonts w:ascii="Arial" w:eastAsia="Times New Roman" w:hAnsi="Arial" w:cs="Arial"/>
          <w:color w:val="333333"/>
          <w:sz w:val="21"/>
          <w:szCs w:val="21"/>
          <w:lang w:val="es-ES" w:eastAsia="es-CL"/>
        </w:rPr>
      </w:pPr>
      <w:r w:rsidRPr="007D2C35">
        <w:rPr>
          <w:rFonts w:ascii="Arial" w:eastAsia="Times New Roman" w:hAnsi="Arial" w:cs="Arial"/>
          <w:color w:val="333333"/>
          <w:sz w:val="21"/>
          <w:szCs w:val="21"/>
          <w:lang w:val="es-ES" w:eastAsia="es-CL"/>
        </w:rPr>
        <w:t>En el Palacio de Torre Tagle en Lima se suscribió ayer el Acta de los trabajos conjuntos de campo y de gabinete correspondientes a la medición de los puntos del límite marítimo entre el Perú y Chile conforme al Fallo de la Corte Internacional de Justicia.</w:t>
      </w:r>
    </w:p>
    <w:p w14:paraId="02BE6DE6" w14:textId="77777777" w:rsidR="007D2C35" w:rsidRPr="007D2C35" w:rsidRDefault="007D2C35" w:rsidP="007D2C35">
      <w:pPr>
        <w:shd w:val="clear" w:color="auto" w:fill="FFFFFF"/>
        <w:spacing w:after="150" w:line="408" w:lineRule="auto"/>
        <w:jc w:val="both"/>
        <w:rPr>
          <w:rFonts w:ascii="Arial" w:eastAsia="Times New Roman" w:hAnsi="Arial" w:cs="Arial"/>
          <w:color w:val="333333"/>
          <w:sz w:val="21"/>
          <w:szCs w:val="21"/>
          <w:lang w:val="es-ES" w:eastAsia="es-CL"/>
        </w:rPr>
      </w:pPr>
      <w:r w:rsidRPr="007D2C35">
        <w:rPr>
          <w:rFonts w:ascii="Arial" w:eastAsia="Times New Roman" w:hAnsi="Arial" w:cs="Arial"/>
          <w:color w:val="333333"/>
          <w:sz w:val="21"/>
          <w:szCs w:val="21"/>
          <w:lang w:val="es-ES" w:eastAsia="es-CL"/>
        </w:rPr>
        <w:t xml:space="preserve">La suscripción del Acta por el Director General de Soberanía, Límites y Asuntos Antárticos del Perú y la Directora Nacional de Fronteras y Límites del Estado de Chile, se efectuó en conclusión de los trabajos técnicos y cartográficos, con un espíritu de buena vecindad y de acuerdo al cronograma establecido en la Declaración Conjunta de los </w:t>
      </w:r>
      <w:proofErr w:type="gramStart"/>
      <w:r w:rsidRPr="007D2C35">
        <w:rPr>
          <w:rFonts w:ascii="Arial" w:eastAsia="Times New Roman" w:hAnsi="Arial" w:cs="Arial"/>
          <w:color w:val="333333"/>
          <w:sz w:val="21"/>
          <w:szCs w:val="21"/>
          <w:lang w:val="es-ES" w:eastAsia="es-CL"/>
        </w:rPr>
        <w:t>Ministros</w:t>
      </w:r>
      <w:proofErr w:type="gramEnd"/>
      <w:r w:rsidRPr="007D2C35">
        <w:rPr>
          <w:rFonts w:ascii="Arial" w:eastAsia="Times New Roman" w:hAnsi="Arial" w:cs="Arial"/>
          <w:color w:val="333333"/>
          <w:sz w:val="21"/>
          <w:szCs w:val="21"/>
          <w:lang w:val="es-ES" w:eastAsia="es-CL"/>
        </w:rPr>
        <w:t xml:space="preserve"> de Relaciones Exteriores y de Defensa del Perú y de Chile, y el Acta de Grupo de Trabajo Técnico y Cartográfico anexa, de fecha 6 de febrero de 2014. Estos trabajos se desarrollaron con el objeto de determinar conjuntamente las coordenadas geográficas precisas del curso del límite marítimo entre ambos países, cumpliendo el mandato del Fallo de la Corte Internacional de Justicia del 27 de enero de 2014.</w:t>
      </w:r>
    </w:p>
    <w:p w14:paraId="5E8AD410" w14:textId="77777777" w:rsidR="007D2C35" w:rsidRPr="007D2C35" w:rsidRDefault="007D2C35" w:rsidP="007D2C35">
      <w:pPr>
        <w:shd w:val="clear" w:color="auto" w:fill="FFFFFF"/>
        <w:spacing w:after="150" w:line="408" w:lineRule="auto"/>
        <w:jc w:val="both"/>
        <w:rPr>
          <w:rFonts w:ascii="Arial" w:eastAsia="Times New Roman" w:hAnsi="Arial" w:cs="Arial"/>
          <w:color w:val="333333"/>
          <w:sz w:val="21"/>
          <w:szCs w:val="21"/>
          <w:lang w:val="es-ES" w:eastAsia="es-CL"/>
        </w:rPr>
      </w:pPr>
      <w:r w:rsidRPr="007D2C35">
        <w:rPr>
          <w:rFonts w:ascii="Arial" w:eastAsia="Times New Roman" w:hAnsi="Arial" w:cs="Arial"/>
          <w:color w:val="333333"/>
          <w:sz w:val="21"/>
          <w:szCs w:val="21"/>
          <w:lang w:val="es-ES" w:eastAsia="es-CL"/>
        </w:rPr>
        <w:t xml:space="preserve">Asimismo, en esa oportunidad se aprobó la representación cartográfica de la línea de la frontera marítima, desde su punto de inicio (PIFM), siguiendo los vértices A, B y C, determinados por la </w:t>
      </w:r>
      <w:r w:rsidRPr="007D2C35">
        <w:rPr>
          <w:rFonts w:ascii="Arial" w:eastAsia="Times New Roman" w:hAnsi="Arial" w:cs="Arial"/>
          <w:color w:val="333333"/>
          <w:sz w:val="21"/>
          <w:szCs w:val="21"/>
          <w:lang w:val="es-ES" w:eastAsia="es-CL"/>
        </w:rPr>
        <w:lastRenderedPageBreak/>
        <w:t>Corte. La representación cartográfica figura en dos mapas que reflejan gráficamente el curso de la frontera marítima, sus coordenadas y los puntos contribuyentes de la costa de cada país, así como el punto de inicio de la frontera marítima, según los términos descritos en el Fallo de la Corte Internacional de Justicia.</w:t>
      </w:r>
    </w:p>
    <w:p w14:paraId="0EF65CE8" w14:textId="77777777" w:rsidR="007D2C35" w:rsidRPr="007D2C35" w:rsidRDefault="007D2C35" w:rsidP="007D2C35">
      <w:pPr>
        <w:shd w:val="clear" w:color="auto" w:fill="FFFFFF"/>
        <w:spacing w:after="150" w:line="408" w:lineRule="auto"/>
        <w:jc w:val="both"/>
        <w:rPr>
          <w:rFonts w:ascii="Arial" w:eastAsia="Times New Roman" w:hAnsi="Arial" w:cs="Arial"/>
          <w:color w:val="333333"/>
          <w:sz w:val="21"/>
          <w:szCs w:val="21"/>
          <w:lang w:val="es-ES" w:eastAsia="es-CL"/>
        </w:rPr>
      </w:pPr>
      <w:r w:rsidRPr="007D2C35">
        <w:rPr>
          <w:rFonts w:ascii="Arial" w:eastAsia="Times New Roman" w:hAnsi="Arial" w:cs="Arial"/>
          <w:color w:val="333333"/>
          <w:sz w:val="21"/>
          <w:szCs w:val="21"/>
          <w:lang w:val="es-ES" w:eastAsia="es-CL"/>
        </w:rPr>
        <w:t>Esta reunión técnica peruano-chilena se realizó los días 24 y 25 de marzo en las instalaciones de la Dirección de Hidrografía y Navegación de la Marina de Guerra del Perú.</w:t>
      </w:r>
    </w:p>
    <w:p w14:paraId="1C56FAC3" w14:textId="77777777" w:rsidR="00D217B7" w:rsidRPr="007D2C35" w:rsidRDefault="00D217B7">
      <w:pPr>
        <w:rPr>
          <w:lang w:val="es-ES"/>
        </w:rPr>
      </w:pPr>
    </w:p>
    <w:sectPr w:rsidR="00D217B7" w:rsidRPr="007D2C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35"/>
    <w:rsid w:val="007D2C35"/>
    <w:rsid w:val="008C24C7"/>
    <w:rsid w:val="00D217B7"/>
    <w:rsid w:val="00D251CF"/>
    <w:rsid w:val="00E23F0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9945D"/>
  <w15:docId w15:val="{3642C643-67FA-416D-BDCE-1D617B82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D2C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2C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303351">
      <w:bodyDiv w:val="1"/>
      <w:marLeft w:val="0"/>
      <w:marRight w:val="0"/>
      <w:marTop w:val="0"/>
      <w:marBottom w:val="0"/>
      <w:divBdr>
        <w:top w:val="none" w:sz="0" w:space="0" w:color="auto"/>
        <w:left w:val="none" w:sz="0" w:space="0" w:color="auto"/>
        <w:bottom w:val="none" w:sz="0" w:space="0" w:color="auto"/>
        <w:right w:val="none" w:sz="0" w:space="0" w:color="auto"/>
      </w:divBdr>
      <w:divsChild>
        <w:div w:id="714309155">
          <w:marLeft w:val="0"/>
          <w:marRight w:val="0"/>
          <w:marTop w:val="100"/>
          <w:marBottom w:val="100"/>
          <w:divBdr>
            <w:top w:val="none" w:sz="0" w:space="0" w:color="auto"/>
            <w:left w:val="none" w:sz="0" w:space="0" w:color="auto"/>
            <w:bottom w:val="none" w:sz="0" w:space="0" w:color="auto"/>
            <w:right w:val="none" w:sz="0" w:space="0" w:color="auto"/>
          </w:divBdr>
          <w:divsChild>
            <w:div w:id="396628674">
              <w:marLeft w:val="0"/>
              <w:marRight w:val="0"/>
              <w:marTop w:val="0"/>
              <w:marBottom w:val="0"/>
              <w:divBdr>
                <w:top w:val="none" w:sz="0" w:space="0" w:color="auto"/>
                <w:left w:val="none" w:sz="0" w:space="0" w:color="auto"/>
                <w:bottom w:val="none" w:sz="0" w:space="0" w:color="auto"/>
                <w:right w:val="none" w:sz="0" w:space="0" w:color="auto"/>
              </w:divBdr>
              <w:divsChild>
                <w:div w:id="2092847864">
                  <w:marLeft w:val="0"/>
                  <w:marRight w:val="0"/>
                  <w:marTop w:val="0"/>
                  <w:marBottom w:val="0"/>
                  <w:divBdr>
                    <w:top w:val="none" w:sz="0" w:space="0" w:color="auto"/>
                    <w:left w:val="none" w:sz="0" w:space="0" w:color="auto"/>
                    <w:bottom w:val="none" w:sz="0" w:space="0" w:color="auto"/>
                    <w:right w:val="none" w:sz="0" w:space="0" w:color="auto"/>
                  </w:divBdr>
                  <w:divsChild>
                    <w:div w:id="140930933">
                      <w:marLeft w:val="375"/>
                      <w:marRight w:val="0"/>
                      <w:marTop w:val="0"/>
                      <w:marBottom w:val="0"/>
                      <w:divBdr>
                        <w:top w:val="none" w:sz="0" w:space="0" w:color="auto"/>
                        <w:left w:val="none" w:sz="0" w:space="0" w:color="auto"/>
                        <w:bottom w:val="none" w:sz="0" w:space="0" w:color="auto"/>
                        <w:right w:val="none" w:sz="0" w:space="0" w:color="auto"/>
                      </w:divBdr>
                      <w:divsChild>
                        <w:div w:id="793792578">
                          <w:marLeft w:val="0"/>
                          <w:marRight w:val="0"/>
                          <w:marTop w:val="270"/>
                          <w:marBottom w:val="0"/>
                          <w:divBdr>
                            <w:top w:val="none" w:sz="0" w:space="0" w:color="auto"/>
                            <w:left w:val="none" w:sz="0" w:space="0" w:color="auto"/>
                            <w:bottom w:val="none" w:sz="0" w:space="0" w:color="auto"/>
                            <w:right w:val="none" w:sz="0" w:space="0" w:color="auto"/>
                          </w:divBdr>
                          <w:divsChild>
                            <w:div w:id="1030453817">
                              <w:marLeft w:val="0"/>
                              <w:marRight w:val="0"/>
                              <w:marTop w:val="0"/>
                              <w:marBottom w:val="0"/>
                              <w:divBdr>
                                <w:top w:val="none" w:sz="0" w:space="0" w:color="auto"/>
                                <w:left w:val="none" w:sz="0" w:space="0" w:color="auto"/>
                                <w:bottom w:val="none" w:sz="0" w:space="0" w:color="auto"/>
                                <w:right w:val="none" w:sz="0" w:space="0" w:color="auto"/>
                              </w:divBdr>
                              <w:divsChild>
                                <w:div w:id="240140650">
                                  <w:marLeft w:val="0"/>
                                  <w:marRight w:val="0"/>
                                  <w:marTop w:val="0"/>
                                  <w:marBottom w:val="150"/>
                                  <w:divBdr>
                                    <w:top w:val="none" w:sz="0" w:space="0" w:color="auto"/>
                                    <w:left w:val="none" w:sz="0" w:space="0" w:color="auto"/>
                                    <w:bottom w:val="none" w:sz="0" w:space="0" w:color="auto"/>
                                    <w:right w:val="none" w:sz="0" w:space="0" w:color="auto"/>
                                  </w:divBdr>
                                </w:div>
                              </w:divsChild>
                            </w:div>
                            <w:div w:id="1425302700">
                              <w:marLeft w:val="0"/>
                              <w:marRight w:val="0"/>
                              <w:marTop w:val="0"/>
                              <w:marBottom w:val="0"/>
                              <w:divBdr>
                                <w:top w:val="none" w:sz="0" w:space="0" w:color="auto"/>
                                <w:left w:val="none" w:sz="0" w:space="0" w:color="auto"/>
                                <w:bottom w:val="none" w:sz="0" w:space="0" w:color="auto"/>
                                <w:right w:val="none" w:sz="0" w:space="0" w:color="auto"/>
                              </w:divBdr>
                              <w:divsChild>
                                <w:div w:id="1837920266">
                                  <w:marLeft w:val="450"/>
                                  <w:marRight w:val="0"/>
                                  <w:marTop w:val="0"/>
                                  <w:marBottom w:val="0"/>
                                  <w:divBdr>
                                    <w:top w:val="none" w:sz="0" w:space="0" w:color="auto"/>
                                    <w:left w:val="none" w:sz="0" w:space="0" w:color="auto"/>
                                    <w:bottom w:val="none" w:sz="0" w:space="0" w:color="auto"/>
                                    <w:right w:val="none" w:sz="0" w:space="0" w:color="auto"/>
                                  </w:divBdr>
                                  <w:divsChild>
                                    <w:div w:id="340085926">
                                      <w:marLeft w:val="0"/>
                                      <w:marRight w:val="0"/>
                                      <w:marTop w:val="0"/>
                                      <w:marBottom w:val="0"/>
                                      <w:divBdr>
                                        <w:top w:val="none" w:sz="0" w:space="0" w:color="auto"/>
                                        <w:left w:val="none" w:sz="0" w:space="0" w:color="auto"/>
                                        <w:bottom w:val="none" w:sz="0" w:space="0" w:color="auto"/>
                                        <w:right w:val="none" w:sz="0" w:space="0" w:color="auto"/>
                                      </w:divBdr>
                                    </w:div>
                                    <w:div w:id="11610453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1543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Archivo ESLIM</dc:creator>
  <cp:lastModifiedBy>María Alicia Ríos</cp:lastModifiedBy>
  <cp:revision>2</cp:revision>
  <dcterms:created xsi:type="dcterms:W3CDTF">2024-03-15T18:42:00Z</dcterms:created>
  <dcterms:modified xsi:type="dcterms:W3CDTF">2024-03-15T18:42:00Z</dcterms:modified>
</cp:coreProperties>
</file>